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A9A2C">
      <w:pPr>
        <w:spacing w:after="0" w:line="240" w:lineRule="auto"/>
        <w:contextualSpacing/>
        <w:jc w:val="center"/>
        <w:outlineLvl w:val="0"/>
        <w:rPr>
          <w:rFonts w:eastAsia="Arial" w:cs="Times New Roman"/>
          <w:b/>
          <w:szCs w:val="24"/>
        </w:rPr>
      </w:pPr>
      <w:bookmarkStart w:id="0" w:name="_Toc104948176"/>
      <w:bookmarkStart w:id="1" w:name="_Toc104293701"/>
      <w:bookmarkStart w:id="2" w:name="_Toc135663721"/>
      <w:r>
        <w:rPr>
          <w:rFonts w:eastAsia="Arial" w:cs="Times New Roman"/>
          <w:b/>
          <w:szCs w:val="24"/>
          <w:lang w:val="vi-VN"/>
        </w:rPr>
        <w:t>MA TRẬN</w:t>
      </w:r>
      <w:r>
        <w:rPr>
          <w:rFonts w:eastAsia="Arial" w:cs="Times New Roman"/>
          <w:b/>
          <w:szCs w:val="24"/>
        </w:rPr>
        <w:t xml:space="preserve"> ĐỀ KIỂM TRA</w:t>
      </w:r>
      <w:r>
        <w:rPr>
          <w:rFonts w:eastAsia="Arial" w:cs="Times New Roman"/>
          <w:b/>
          <w:szCs w:val="24"/>
          <w:lang w:val="vi-VN"/>
        </w:rPr>
        <w:t xml:space="preserve"> </w:t>
      </w:r>
      <w:r>
        <w:rPr>
          <w:rFonts w:eastAsia="Arial" w:cs="Times New Roman"/>
          <w:b/>
          <w:szCs w:val="24"/>
        </w:rPr>
        <w:t>CUỐI HỌC KÌ II – MÔN CN 10</w:t>
      </w:r>
    </w:p>
    <w:bookmarkEnd w:id="0"/>
    <w:bookmarkEnd w:id="1"/>
    <w:bookmarkEnd w:id="2"/>
    <w:p w14:paraId="662BD858">
      <w:pPr>
        <w:spacing w:after="0" w:line="240" w:lineRule="auto"/>
        <w:ind w:firstLine="284"/>
        <w:contextualSpacing/>
        <w:jc w:val="both"/>
        <w:rPr>
          <w:rFonts w:eastAsia="Times New Roman" w:cs="Times New Roman"/>
          <w:b/>
          <w:bCs/>
          <w:color w:val="000000"/>
          <w:szCs w:val="24"/>
        </w:rPr>
      </w:pPr>
    </w:p>
    <w:tbl>
      <w:tblPr>
        <w:tblStyle w:val="3"/>
        <w:tblW w:w="156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447"/>
        <w:gridCol w:w="2281"/>
        <w:gridCol w:w="677"/>
        <w:gridCol w:w="761"/>
        <w:gridCol w:w="748"/>
        <w:gridCol w:w="743"/>
        <w:gridCol w:w="761"/>
        <w:gridCol w:w="814"/>
        <w:gridCol w:w="673"/>
        <w:gridCol w:w="796"/>
        <w:gridCol w:w="807"/>
        <w:gridCol w:w="1027"/>
        <w:gridCol w:w="1416"/>
        <w:gridCol w:w="1187"/>
        <w:gridCol w:w="776"/>
      </w:tblGrid>
      <w:tr w14:paraId="058DC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tblHeader/>
          <w:jc w:val="center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7A76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  <w:t>STT</w:t>
            </w:r>
          </w:p>
        </w:tc>
        <w:tc>
          <w:tcPr>
            <w:tcW w:w="16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A093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  <w:t>Chương/</w:t>
            </w:r>
          </w:p>
          <w:p w14:paraId="3AC4168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  <w:t>Chủ đề</w:t>
            </w:r>
          </w:p>
        </w:tc>
        <w:tc>
          <w:tcPr>
            <w:tcW w:w="3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D198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  <w:t xml:space="preserve">Đơn vị </w:t>
            </w:r>
          </w:p>
          <w:p w14:paraId="1ADA18D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  <w:t>kiến thức</w:t>
            </w:r>
          </w:p>
        </w:tc>
        <w:tc>
          <w:tcPr>
            <w:tcW w:w="712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B7F3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  <w:t>Mức độ đánh giá</w:t>
            </w:r>
          </w:p>
        </w:tc>
        <w:tc>
          <w:tcPr>
            <w:tcW w:w="218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ABD3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  <w:t>Tổng</w:t>
            </w:r>
          </w:p>
        </w:tc>
        <w:tc>
          <w:tcPr>
            <w:tcW w:w="8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47BA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  <w:t>Tỉ lệ % điểm</w:t>
            </w:r>
          </w:p>
        </w:tc>
      </w:tr>
      <w:tr w14:paraId="3CE75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30037">
            <w:pPr>
              <w:spacing w:after="0" w:line="240" w:lineRule="auto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CF668">
            <w:pPr>
              <w:spacing w:after="0" w:line="240" w:lineRule="auto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9FECF">
            <w:pPr>
              <w:spacing w:after="0" w:line="240" w:lineRule="auto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23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CC96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eastAsia="ja-JP"/>
              </w:rPr>
              <w:t>TN nhiều lựa chọn</w:t>
            </w:r>
          </w:p>
        </w:tc>
        <w:tc>
          <w:tcPr>
            <w:tcW w:w="2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8D16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vi-VN"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  <w:t>TN dạng đúng sai</w:t>
            </w:r>
          </w:p>
        </w:tc>
        <w:tc>
          <w:tcPr>
            <w:tcW w:w="2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7460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eastAsia="ja-JP"/>
              </w:rPr>
              <w:t>Tự luận</w:t>
            </w:r>
          </w:p>
        </w:tc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32CCF">
            <w:pPr>
              <w:spacing w:after="0" w:line="240" w:lineRule="auto"/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36CA0">
            <w:pPr>
              <w:spacing w:after="0" w:line="240" w:lineRule="auto"/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</w:pPr>
          </w:p>
        </w:tc>
      </w:tr>
      <w:tr w14:paraId="40A11C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C0E6C">
            <w:pPr>
              <w:spacing w:after="0" w:line="240" w:lineRule="auto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33E11">
            <w:pPr>
              <w:spacing w:after="0" w:line="240" w:lineRule="auto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3CA2E">
            <w:pPr>
              <w:spacing w:after="0" w:line="240" w:lineRule="auto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3C76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  <w:t>Biết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1F857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eastAsia="ja-JP"/>
              </w:rPr>
              <w:t>Hiểu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AD757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  <w:t>VD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9E15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  <w:t>Biết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66DB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eastAsia="ja-JP"/>
              </w:rPr>
              <w:t>Hiểu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63DA9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  <w:t>VD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4C9C7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  <w:t>Biết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726E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eastAsia="ja-JP"/>
              </w:rPr>
              <w:t>Hiểu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80FD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  <w:t>VD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C57D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 w:eastAsia="ja-JP"/>
              </w:rPr>
              <w:t>Biết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FD5D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eastAsia="ja-JP"/>
              </w:rPr>
              <w:t>Hiểu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17998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eastAsia="ja-JP"/>
              </w:rPr>
              <w:t>VD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B2962">
            <w:pPr>
              <w:spacing w:after="0" w:line="240" w:lineRule="auto"/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</w:pPr>
          </w:p>
        </w:tc>
      </w:tr>
      <w:tr w14:paraId="67080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5A174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(1)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64514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(2)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220EE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(3)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C774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(4)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25065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(5)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2E2D4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(6)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2D42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(7)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E139B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(8)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7F68BE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(9)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6D50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(10)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3EB64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(11)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B616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(12)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7456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(13)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C031B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(14)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BE0FCA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(15)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7EE49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(16)</w:t>
            </w:r>
          </w:p>
        </w:tc>
      </w:tr>
      <w:tr w14:paraId="745AF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57F7A77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1</w:t>
            </w:r>
          </w:p>
        </w:tc>
        <w:tc>
          <w:tcPr>
            <w:tcW w:w="16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6D9C7C2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Vẽ kĩ thuật ứng dụng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C2E66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Biểu diễn ren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248D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75028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6C61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E4E3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1a,1b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DF9FA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1c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BA1F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1d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8C06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796A5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23BFC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B855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1a,1b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228D8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1+1c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E4D3A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1d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6E8AF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</w:tr>
      <w:tr w14:paraId="0D9D6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6B8D0D1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7C571C9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2D1F7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Bản vẽ chi tiết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12AF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F3243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29F4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5C9B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962B4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B316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7C73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6206E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F4609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B40C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CA62E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F6368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735AD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</w:tr>
      <w:tr w14:paraId="7DB20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A00530C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94785FE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65054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Bản vẽ lắp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046C0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5EEC5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5418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E568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886B0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D6B6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9047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FCADB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CF1D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E1194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3B2BF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A6586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631E5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</w:tr>
      <w:tr w14:paraId="511BA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62CBC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086EC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31651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Bản vẽ xây dựng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F3AF1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E9619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54210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DF10F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1a,1b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4B100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1c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A8987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1d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D70D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23262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3CC8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42C4D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2+1a,1b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A2F18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1c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E3D95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1d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7276B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</w:tr>
      <w:tr w14:paraId="70B0B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8B24D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2</w:t>
            </w:r>
          </w:p>
        </w:tc>
        <w:tc>
          <w:tcPr>
            <w:tcW w:w="16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A9AFFA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Thiết kế kĩ thuật</w:t>
            </w:r>
          </w:p>
          <w:p w14:paraId="4FABB84D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84BFA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Vai trò, ý nghĩa và các nguyên tắc của hoạt động thiết kế kĩ thuật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0A6F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997B1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CE61B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E293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1a,1b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4E0D0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1c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AC0D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1d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CCA6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E7BAF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1</w:t>
            </w:r>
            <w:r>
              <w:rPr>
                <w:rFonts w:eastAsia="Arial" w:cs="Times New Roman"/>
                <w:color w:val="FF0000"/>
                <w:szCs w:val="24"/>
                <w:lang w:eastAsia="ja-JP"/>
              </w:rPr>
              <w:t>(</w:t>
            </w:r>
            <w:r>
              <w:rPr>
                <w:rFonts w:hint="default" w:eastAsia="Arial" w:cs="Times New Roman"/>
                <w:color w:val="FF0000"/>
                <w:szCs w:val="24"/>
                <w:lang w:val="en-US" w:eastAsia="ja-JP"/>
              </w:rPr>
              <w:t>1,</w:t>
            </w:r>
            <w:r>
              <w:rPr>
                <w:rFonts w:eastAsia="Arial" w:cs="Times New Roman"/>
                <w:color w:val="FF0000"/>
                <w:szCs w:val="24"/>
                <w:lang w:eastAsia="ja-JP"/>
              </w:rPr>
              <w:t>0)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76D9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</w:t>
            </w:r>
            <w:r>
              <w:rPr>
                <w:rFonts w:eastAsia="Arial" w:cs="Times New Roman"/>
                <w:bCs/>
                <w:iCs/>
                <w:color w:val="FF0000"/>
                <w:szCs w:val="24"/>
                <w:lang w:val="nl-NL" w:eastAsia="ja-JP"/>
              </w:rPr>
              <w:t>(</w:t>
            </w:r>
            <w:r>
              <w:rPr>
                <w:rFonts w:hint="default" w:eastAsia="Arial" w:cs="Times New Roman"/>
                <w:bCs/>
                <w:iCs/>
                <w:color w:val="FF0000"/>
                <w:szCs w:val="24"/>
                <w:lang w:val="en-US" w:eastAsia="ja-JP"/>
              </w:rPr>
              <w:t>2</w:t>
            </w:r>
            <w:r>
              <w:rPr>
                <w:rFonts w:eastAsia="Arial" w:cs="Times New Roman"/>
                <w:bCs/>
                <w:iCs/>
                <w:color w:val="FF0000"/>
                <w:szCs w:val="24"/>
                <w:lang w:val="nl-NL" w:eastAsia="ja-JP"/>
              </w:rPr>
              <w:t>,</w:t>
            </w:r>
            <w:r>
              <w:rPr>
                <w:rFonts w:hint="default" w:eastAsia="Arial" w:cs="Times New Roman"/>
                <w:bCs/>
                <w:iCs/>
                <w:color w:val="FF0000"/>
                <w:szCs w:val="24"/>
                <w:lang w:val="en-US" w:eastAsia="ja-JP"/>
              </w:rPr>
              <w:t>0</w:t>
            </w:r>
            <w:r>
              <w:rPr>
                <w:rFonts w:eastAsia="Arial" w:cs="Times New Roman"/>
                <w:bCs/>
                <w:iCs/>
                <w:color w:val="FF0000"/>
                <w:szCs w:val="24"/>
                <w:lang w:val="nl-NL" w:eastAsia="ja-JP"/>
              </w:rPr>
              <w:t>)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30652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1+</w:t>
            </w: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1a,1b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31045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1c+</w:t>
            </w:r>
            <w:r>
              <w:rPr>
                <w:rFonts w:eastAsia="Arial" w:cs="Times New Roman"/>
                <w:color w:val="000000"/>
                <w:szCs w:val="24"/>
                <w:lang w:eastAsia="ja-JP"/>
              </w:rPr>
              <w:t>1</w:t>
            </w:r>
            <w:r>
              <w:rPr>
                <w:rFonts w:eastAsia="Arial" w:cs="Times New Roman"/>
                <w:color w:val="FF0000"/>
                <w:szCs w:val="24"/>
                <w:lang w:eastAsia="ja-JP"/>
              </w:rPr>
              <w:t>(</w:t>
            </w:r>
            <w:r>
              <w:rPr>
                <w:rFonts w:hint="default" w:eastAsia="Arial" w:cs="Times New Roman"/>
                <w:color w:val="FF0000"/>
                <w:szCs w:val="24"/>
                <w:lang w:val="en-US" w:eastAsia="ja-JP"/>
              </w:rPr>
              <w:t>1</w:t>
            </w:r>
            <w:r>
              <w:rPr>
                <w:rFonts w:eastAsia="Arial" w:cs="Times New Roman"/>
                <w:color w:val="FF0000"/>
                <w:szCs w:val="24"/>
                <w:lang w:eastAsia="ja-JP"/>
              </w:rPr>
              <w:t>,</w:t>
            </w:r>
            <w:r>
              <w:rPr>
                <w:rFonts w:hint="default" w:eastAsia="Arial" w:cs="Times New Roman"/>
                <w:color w:val="FF0000"/>
                <w:szCs w:val="24"/>
                <w:lang w:val="en-US" w:eastAsia="ja-JP"/>
              </w:rPr>
              <w:t>0</w:t>
            </w:r>
            <w:r>
              <w:rPr>
                <w:rFonts w:eastAsia="Arial" w:cs="Times New Roman"/>
                <w:color w:val="FF0000"/>
                <w:szCs w:val="24"/>
                <w:lang w:eastAsia="ja-JP"/>
              </w:rPr>
              <w:t>)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72EB8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1d+1(</w:t>
            </w:r>
            <w:r>
              <w:rPr>
                <w:rFonts w:hint="default" w:eastAsia="Arial" w:cs="Times New Roman"/>
                <w:color w:val="FF0000"/>
                <w:szCs w:val="24"/>
                <w:lang w:val="en-US" w:eastAsia="ja-JP"/>
              </w:rPr>
              <w:t>2,0</w:t>
            </w: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)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76D80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</w:tr>
      <w:tr w14:paraId="6F9492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FFEB5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5710F2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7A909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Quy trình thiết kế kĩ thuật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B263C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5B935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7E282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9D047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86C70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val="nl-NL" w:eastAsia="ja-JP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64CC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A147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38C70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498CD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1F05A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7AE3F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1773B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55BBF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</w:tr>
      <w:tr w14:paraId="2C63A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477B2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2C4744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20655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Các yếu tố ảnh hưởng trong quá trình thiết kế kĩ thuật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A6DA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0AA2E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61362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CC28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0AA0E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2E02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9939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60CF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eastAsia="ja-JP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17B5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A66F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CCE5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eastAsia="ja-JP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12AAC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DC5C1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</w:tr>
      <w:tr w14:paraId="72964A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B7800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48CFA3">
            <w:pPr>
              <w:spacing w:after="0" w:line="240" w:lineRule="auto"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EC7F4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 w:eastAsia="ja-JP"/>
              </w:rPr>
              <w:t>Một số nghề nghiệp liên quan đến thiết kế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DA442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0F3EE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794C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66B89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1a,1b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4125B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1c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2536C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1d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CB4E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7C994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36372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31B7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2+1a,1b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84734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1c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08AB2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1d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994A0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eastAsia="ja-JP"/>
              </w:rPr>
            </w:pPr>
          </w:p>
        </w:tc>
      </w:tr>
      <w:tr w14:paraId="63F1E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5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2607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  <w:t>Tổng số câu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9CA24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  <w:t>8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88719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  <w:t>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A0E5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color w:val="000000"/>
                <w:szCs w:val="24"/>
                <w:lang w:val="fr-FR" w:eastAsia="fr-FR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41575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eastAsia="Arial" w:cs="Times New Roman"/>
                <w:bCs/>
                <w:color w:val="000000"/>
                <w:szCs w:val="24"/>
                <w:lang w:val="fr-FR" w:eastAsia="fr-FR"/>
              </w:rPr>
              <w:t>4</w:t>
            </w:r>
            <w:r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  <w:t>a,4b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87867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  <w:t>4c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5A863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  <w:t>4d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B50C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fr-FR" w:eastAsia="fr-F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E8A70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  <w:t>1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5B9C8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  <w:t>1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BD826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  <w:t>8+4a,4b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2C54F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  <w:t>4+4c+1(</w:t>
            </w:r>
            <w:r>
              <w:rPr>
                <w:rFonts w:hint="default" w:eastAsia="Arial" w:cs="Times New Roman"/>
                <w:b/>
                <w:color w:val="FF0000"/>
                <w:szCs w:val="24"/>
                <w:lang w:val="en-US" w:eastAsia="fr-FR"/>
              </w:rPr>
              <w:t>1,0</w:t>
            </w:r>
            <w:r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  <w:t>)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37452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  <w:t>1(</w:t>
            </w:r>
            <w:r>
              <w:rPr>
                <w:rFonts w:hint="default" w:eastAsia="Arial" w:cs="Times New Roman"/>
                <w:b/>
                <w:color w:val="FF0000"/>
                <w:szCs w:val="24"/>
                <w:lang w:val="en-US" w:eastAsia="fr-FR"/>
              </w:rPr>
              <w:t>2,0</w:t>
            </w:r>
            <w:r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  <w:t>)+4d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203E6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val="fr-FR" w:eastAsia="fr-FR"/>
              </w:rPr>
            </w:pPr>
          </w:p>
        </w:tc>
      </w:tr>
      <w:tr w14:paraId="619BF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55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29FA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ja-JP"/>
              </w:rPr>
              <w:t>Tổng số điểm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CF2E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  <w:r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  <w:t>2</w:t>
            </w: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  <w:t>,0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B645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  <w:r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  <w:t>1</w:t>
            </w: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  <w:t>,0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150D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407C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  <w:r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  <w:t>2</w:t>
            </w: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  <w:t>,0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D715A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  <w:t>1,0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127D2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  <w:t>1,0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6E2B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F8733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  <w:t>1,0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C9DB8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  <w:t>2,</w:t>
            </w:r>
            <w:r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  <w:t>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4841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  <w:t>4,0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30D4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  <w:t>3,0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76D3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 w:eastAsia="fr-FR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 w:eastAsia="fr-FR"/>
              </w:rPr>
              <w:t>3,0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2CF6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 w:eastAsia="fr-FR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 w:eastAsia="fr-FR"/>
              </w:rPr>
              <w:t>10</w:t>
            </w:r>
          </w:p>
        </w:tc>
      </w:tr>
      <w:tr w14:paraId="73216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55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DA4E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ja-JP"/>
              </w:rPr>
              <w:t>Tỉ lệ %</w:t>
            </w:r>
          </w:p>
        </w:tc>
        <w:tc>
          <w:tcPr>
            <w:tcW w:w="23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EE7A7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  <w:r>
              <w:rPr>
                <w:rFonts w:hint="default" w:eastAsia="Arial" w:cs="Times New Roman"/>
                <w:b/>
                <w:iCs/>
                <w:color w:val="000000"/>
                <w:szCs w:val="24"/>
                <w:lang w:val="en-US" w:eastAsia="ja-JP"/>
              </w:rPr>
              <w:t>3</w:t>
            </w:r>
            <w:r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  <w:t>0</w:t>
            </w:r>
          </w:p>
        </w:tc>
        <w:tc>
          <w:tcPr>
            <w:tcW w:w="24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7AF4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  <w:r>
              <w:rPr>
                <w:rFonts w:hint="default" w:eastAsia="Arial" w:cs="Times New Roman"/>
                <w:b/>
                <w:iCs/>
                <w:color w:val="000000"/>
                <w:szCs w:val="24"/>
                <w:lang w:val="en-US" w:eastAsia="ja-JP"/>
              </w:rPr>
              <w:t>4</w:t>
            </w:r>
            <w:r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  <w:t>0</w:t>
            </w:r>
          </w:p>
        </w:tc>
        <w:tc>
          <w:tcPr>
            <w:tcW w:w="2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640A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  <w:t>30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A09D9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/>
                <w:iCs/>
                <w:color w:val="000000"/>
                <w:szCs w:val="24"/>
                <w:lang w:val="en-US" w:eastAsia="ja-JP"/>
              </w:rPr>
              <w:t>40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521C9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/>
                <w:iCs/>
                <w:color w:val="000000"/>
                <w:szCs w:val="24"/>
                <w:lang w:val="en-US" w:eastAsia="ja-JP"/>
              </w:rPr>
              <w:t>30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C2C48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iCs/>
                <w:color w:val="000000"/>
                <w:szCs w:val="24"/>
                <w:lang w:val="en-US" w:eastAsia="ja-JP"/>
              </w:rPr>
            </w:pPr>
            <w:r>
              <w:rPr>
                <w:rFonts w:hint="default" w:eastAsia="Arial" w:cs="Times New Roman"/>
                <w:b/>
                <w:iCs/>
                <w:color w:val="000000"/>
                <w:szCs w:val="24"/>
                <w:lang w:val="en-US" w:eastAsia="ja-JP"/>
              </w:rPr>
              <w:t>30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0496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 w:eastAsia="ja-JP"/>
              </w:rPr>
              <w:t>100</w:t>
            </w:r>
          </w:p>
        </w:tc>
      </w:tr>
    </w:tbl>
    <w:p w14:paraId="785A3774">
      <w:pPr>
        <w:spacing w:after="0" w:line="240" w:lineRule="auto"/>
        <w:contextualSpacing/>
        <w:jc w:val="center"/>
        <w:rPr>
          <w:rFonts w:eastAsia="Arial" w:cs="Times New Roman"/>
          <w:b/>
          <w:color w:val="000000"/>
          <w:szCs w:val="24"/>
        </w:rPr>
      </w:pPr>
      <w:r>
        <w:rPr>
          <w:rFonts w:eastAsia="Arial" w:cs="Times New Roman"/>
          <w:b/>
          <w:color w:val="000000"/>
          <w:szCs w:val="24"/>
          <w:lang w:val="vi-VN"/>
        </w:rPr>
        <w:br w:type="page"/>
      </w:r>
    </w:p>
    <w:p w14:paraId="1DFBC8AA">
      <w:pPr>
        <w:spacing w:line="28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BẢNG ĐẶC TẢ KĨ THUẬT ĐỀ KIỂM TRA CUỐI KÌ II – CNC 10</w:t>
      </w:r>
    </w:p>
    <w:p w14:paraId="114AD9A0">
      <w:pPr>
        <w:spacing w:line="280" w:lineRule="exact"/>
        <w:rPr>
          <w:b/>
          <w:sz w:val="26"/>
          <w:szCs w:val="26"/>
        </w:rPr>
      </w:pPr>
    </w:p>
    <w:tbl>
      <w:tblPr>
        <w:tblStyle w:val="3"/>
        <w:tblW w:w="14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167"/>
        <w:gridCol w:w="1980"/>
        <w:gridCol w:w="6816"/>
        <w:gridCol w:w="1167"/>
        <w:gridCol w:w="1275"/>
        <w:gridCol w:w="1170"/>
      </w:tblGrid>
      <w:tr w14:paraId="7B3DD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blHeader/>
          <w:jc w:val="center"/>
        </w:trPr>
        <w:tc>
          <w:tcPr>
            <w:tcW w:w="632" w:type="dxa"/>
            <w:vMerge w:val="restart"/>
            <w:vAlign w:val="center"/>
          </w:tcPr>
          <w:p w14:paraId="63D2EAAC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67" w:type="dxa"/>
            <w:vMerge w:val="restart"/>
            <w:vAlign w:val="center"/>
          </w:tcPr>
          <w:p w14:paraId="4F90FF81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Chương/Chủ đề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78CCA5CB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816" w:type="dxa"/>
            <w:vMerge w:val="restart"/>
          </w:tcPr>
          <w:p w14:paraId="5B194DE8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3612" w:type="dxa"/>
            <w:gridSpan w:val="3"/>
            <w:vAlign w:val="center"/>
          </w:tcPr>
          <w:p w14:paraId="68CB59F0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lượng chỉ báo</w:t>
            </w:r>
          </w:p>
        </w:tc>
      </w:tr>
      <w:tr w14:paraId="68993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blHeader/>
          <w:jc w:val="center"/>
        </w:trPr>
        <w:tc>
          <w:tcPr>
            <w:tcW w:w="632" w:type="dxa"/>
            <w:vMerge w:val="continue"/>
            <w:vAlign w:val="center"/>
          </w:tcPr>
          <w:p w14:paraId="2221C6BC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 w:val="continue"/>
            <w:vAlign w:val="center"/>
          </w:tcPr>
          <w:p w14:paraId="7EB5F850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0" w:type="dxa"/>
            <w:vMerge w:val="continue"/>
            <w:shd w:val="clear" w:color="auto" w:fill="auto"/>
            <w:vAlign w:val="center"/>
          </w:tcPr>
          <w:p w14:paraId="6239D281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816" w:type="dxa"/>
            <w:vMerge w:val="continue"/>
          </w:tcPr>
          <w:p w14:paraId="69FC38CB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42" w:type="dxa"/>
            <w:gridSpan w:val="2"/>
            <w:vAlign w:val="center"/>
          </w:tcPr>
          <w:p w14:paraId="08CD0022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Trắc nghiệm</w:t>
            </w:r>
          </w:p>
        </w:tc>
        <w:tc>
          <w:tcPr>
            <w:tcW w:w="1170" w:type="dxa"/>
            <w:vAlign w:val="center"/>
          </w:tcPr>
          <w:p w14:paraId="1D04E07A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Tự luận</w:t>
            </w:r>
          </w:p>
        </w:tc>
      </w:tr>
      <w:tr w14:paraId="0DEB0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632" w:type="dxa"/>
            <w:vMerge w:val="continue"/>
            <w:vAlign w:val="center"/>
          </w:tcPr>
          <w:p w14:paraId="35670929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 w:val="continue"/>
            <w:vAlign w:val="center"/>
          </w:tcPr>
          <w:p w14:paraId="18F2DEA7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0" w:type="dxa"/>
            <w:vMerge w:val="continue"/>
            <w:shd w:val="clear" w:color="auto" w:fill="auto"/>
            <w:vAlign w:val="center"/>
          </w:tcPr>
          <w:p w14:paraId="431BE7F2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816" w:type="dxa"/>
            <w:vMerge w:val="continue"/>
          </w:tcPr>
          <w:p w14:paraId="7A7431AD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Align w:val="center"/>
          </w:tcPr>
          <w:p w14:paraId="6B725562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NLC</w:t>
            </w:r>
          </w:p>
        </w:tc>
        <w:tc>
          <w:tcPr>
            <w:tcW w:w="1275" w:type="dxa"/>
            <w:vAlign w:val="center"/>
          </w:tcPr>
          <w:p w14:paraId="6E6666EC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Đ/S</w:t>
            </w:r>
          </w:p>
        </w:tc>
        <w:tc>
          <w:tcPr>
            <w:tcW w:w="1170" w:type="dxa"/>
            <w:vAlign w:val="center"/>
          </w:tcPr>
          <w:p w14:paraId="3FD93460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14:paraId="146F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32" w:type="dxa"/>
            <w:vMerge w:val="restart"/>
            <w:vAlign w:val="center"/>
          </w:tcPr>
          <w:p w14:paraId="3796B5F2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67" w:type="dxa"/>
            <w:vMerge w:val="restart"/>
            <w:vAlign w:val="center"/>
          </w:tcPr>
          <w:p w14:paraId="16867275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Chủ đề 4</w:t>
            </w:r>
          </w:p>
          <w:p w14:paraId="22E9C279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Vẽ kĩ thuật ứng dụng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D7DA6E6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Biểu diễn ren</w:t>
            </w:r>
          </w:p>
        </w:tc>
        <w:tc>
          <w:tcPr>
            <w:tcW w:w="6816" w:type="dxa"/>
          </w:tcPr>
          <w:p w14:paraId="0D0B3B12">
            <w:pPr>
              <w:spacing w:after="0" w:line="24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Nhận biết:</w:t>
            </w:r>
          </w:p>
          <w:p w14:paraId="3C414F4F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-Trình bày được một số quy ước của bản vẽ biểu diễn quy ước ren</w:t>
            </w:r>
          </w:p>
          <w:p w14:paraId="5F4E359D">
            <w:pPr>
              <w:spacing w:after="0" w:line="24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Thông hiểu:</w:t>
            </w:r>
          </w:p>
          <w:p w14:paraId="4B63A321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Đọc được bản vẽ quy ước ren của vật thể đơn giản</w:t>
            </w:r>
          </w:p>
          <w:p w14:paraId="368BB58F">
            <w:pPr>
              <w:spacing w:after="0" w:line="240" w:lineRule="auto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Vận dụng:</w:t>
            </w:r>
          </w:p>
          <w:p w14:paraId="441FB41F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- </w:t>
            </w:r>
            <w:r>
              <w:rPr>
                <w:sz w:val="26"/>
                <w:szCs w:val="26"/>
                <w:lang w:val="nl-NL"/>
              </w:rPr>
              <w:t>Xác định được cách vẽ ren theo quy ước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B91D8AA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5E8E93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C9AEBA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</w:p>
        </w:tc>
      </w:tr>
      <w:tr w14:paraId="1C8A6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32" w:type="dxa"/>
            <w:vMerge w:val="continue"/>
          </w:tcPr>
          <w:p w14:paraId="1DB03855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 w:val="continue"/>
          </w:tcPr>
          <w:p w14:paraId="728D2D07">
            <w:pPr>
              <w:spacing w:line="280" w:lineRule="exact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AD0B9C1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vẽ chi tiết</w:t>
            </w:r>
          </w:p>
        </w:tc>
        <w:tc>
          <w:tcPr>
            <w:tcW w:w="6816" w:type="dxa"/>
          </w:tcPr>
          <w:p w14:paraId="1068EC1B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biết:</w:t>
            </w:r>
          </w:p>
          <w:p w14:paraId="0D0FDA96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Biết được công dụng, nôi dung bản vẽ chi tiết</w:t>
            </w:r>
          </w:p>
          <w:p w14:paraId="2C2BF5B7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hiểu:</w:t>
            </w:r>
          </w:p>
          <w:p w14:paraId="51750858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Hiểu được quy trình và nội dung cần đọc khi đọc bản vẽ chi tiết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85B2CA3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 w:eastAsia="ja-JP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1C4933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eastAsia="Arial" w:cs="Times New Roman"/>
                <w:color w:val="000000"/>
                <w:szCs w:val="24"/>
                <w:lang w:eastAsia="ja-JP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EF1B7FB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</w:p>
        </w:tc>
      </w:tr>
      <w:tr w14:paraId="652E7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632" w:type="dxa"/>
            <w:vMerge w:val="continue"/>
          </w:tcPr>
          <w:p w14:paraId="7F661E1C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 w:val="continue"/>
          </w:tcPr>
          <w:p w14:paraId="154525CB">
            <w:pPr>
              <w:spacing w:line="280" w:lineRule="exact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DB1EC2F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vẽ lắp</w:t>
            </w:r>
          </w:p>
        </w:tc>
        <w:tc>
          <w:tcPr>
            <w:tcW w:w="6816" w:type="dxa"/>
          </w:tcPr>
          <w:p w14:paraId="1E2353C7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biết:</w:t>
            </w:r>
          </w:p>
          <w:p w14:paraId="6E3683AB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Biết được nội dung của bản vẽ lắp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15AF382F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761FE0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35C1D1B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</w:p>
        </w:tc>
      </w:tr>
      <w:tr w14:paraId="68626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32" w:type="dxa"/>
            <w:vMerge w:val="continue"/>
          </w:tcPr>
          <w:p w14:paraId="6EC2EFDA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 w:val="continue"/>
          </w:tcPr>
          <w:p w14:paraId="29A276CC">
            <w:pPr>
              <w:spacing w:line="280" w:lineRule="exact"/>
              <w:rPr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EA0A87B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vẽ xây dựng</w:t>
            </w:r>
          </w:p>
        </w:tc>
        <w:tc>
          <w:tcPr>
            <w:tcW w:w="6816" w:type="dxa"/>
          </w:tcPr>
          <w:p w14:paraId="449EEBC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Nhận biết:</w:t>
            </w:r>
          </w:p>
          <w:p w14:paraId="418B4D37">
            <w:pPr>
              <w:spacing w:after="0"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Biết được các kí hiệu thường được sử dụng trên bản vẽ xây dựng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054C325E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4F69C5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DBB2C8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</w:p>
        </w:tc>
      </w:tr>
      <w:tr w14:paraId="79AB6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32" w:type="dxa"/>
            <w:vMerge w:val="restart"/>
            <w:vAlign w:val="center"/>
          </w:tcPr>
          <w:p w14:paraId="0CDC6990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67" w:type="dxa"/>
            <w:vMerge w:val="restart"/>
            <w:vAlign w:val="center"/>
          </w:tcPr>
          <w:p w14:paraId="37188826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Chủ đề 5</w:t>
            </w:r>
          </w:p>
          <w:p w14:paraId="21ECBDB1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Thiết kế kĩ thuật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D538BB9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Vai trò, ý nghĩa và các nguyên tắc của hoạt động thiết kế kĩ thuật</w:t>
            </w:r>
          </w:p>
        </w:tc>
        <w:tc>
          <w:tcPr>
            <w:tcW w:w="6816" w:type="dxa"/>
          </w:tcPr>
          <w:p w14:paraId="4588B641">
            <w:pPr>
              <w:spacing w:after="0" w:line="240" w:lineRule="auto"/>
              <w:jc w:val="both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 xml:space="preserve">Nhận biết: </w:t>
            </w:r>
          </w:p>
          <w:p w14:paraId="2CE831DC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- Nêu được các nguyên tắc và ý nghĩa các nguyên tắc của hoạt động thiết kế kĩ thuật.</w:t>
            </w:r>
          </w:p>
          <w:p w14:paraId="2DDE62FB">
            <w:pPr>
              <w:spacing w:after="0" w:line="240" w:lineRule="auto"/>
              <w:jc w:val="both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Thông hiểu:</w:t>
            </w:r>
          </w:p>
          <w:p w14:paraId="3D92A4DB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- Tìm được một số ví dụ minh họa thỏa mãn các nguyên tắc của hoạt động thiết kế kĩ thuật.</w:t>
            </w:r>
          </w:p>
          <w:p w14:paraId="4867C4FE">
            <w:pPr>
              <w:spacing w:after="0" w:line="240" w:lineRule="auto"/>
              <w:jc w:val="both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Vận dụng:</w:t>
            </w:r>
          </w:p>
          <w:p w14:paraId="2075FC57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- Phân tích được ví dụ về các nguyên tắc của hoạt động thiết kế kĩ thuật.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4DA868A2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3C9BF6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7EFC1B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1(</w:t>
            </w:r>
            <w:r>
              <w:rPr>
                <w:rFonts w:hint="default"/>
                <w:color w:val="FF0000"/>
                <w:sz w:val="26"/>
                <w:szCs w:val="26"/>
                <w:lang w:val="en-US"/>
              </w:rPr>
              <w:t>3,0</w:t>
            </w:r>
            <w:r>
              <w:rPr>
                <w:rFonts w:hint="default"/>
                <w:sz w:val="26"/>
                <w:szCs w:val="26"/>
                <w:lang w:val="en-US"/>
              </w:rPr>
              <w:t>)</w:t>
            </w:r>
          </w:p>
        </w:tc>
      </w:tr>
      <w:tr w14:paraId="4C7C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32" w:type="dxa"/>
            <w:vMerge w:val="continue"/>
            <w:vAlign w:val="center"/>
          </w:tcPr>
          <w:p w14:paraId="580BBA86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 w:val="continue"/>
            <w:vAlign w:val="center"/>
          </w:tcPr>
          <w:p w14:paraId="0F87FC55">
            <w:pPr>
              <w:spacing w:line="280" w:lineRule="exact"/>
              <w:rPr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B58C8CD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Quy trình thiết kế kĩ thuật</w:t>
            </w:r>
          </w:p>
        </w:tc>
        <w:tc>
          <w:tcPr>
            <w:tcW w:w="6816" w:type="dxa"/>
          </w:tcPr>
          <w:p w14:paraId="0D88FCA1">
            <w:pPr>
              <w:spacing w:after="0" w:line="240" w:lineRule="auto"/>
              <w:jc w:val="both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Nhận biết:</w:t>
            </w:r>
          </w:p>
          <w:p w14:paraId="27AB40A6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- Trình bày được các công việc cụ thể, phương pháp thực hiện và phương tiện hỗ trợ trong từng bước của quy trình thiết kế kĩ thuật</w:t>
            </w:r>
          </w:p>
          <w:p w14:paraId="2A1A5CDF">
            <w:pPr>
              <w:spacing w:after="0" w:line="240" w:lineRule="auto"/>
              <w:jc w:val="both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Thông hiểu:</w:t>
            </w:r>
          </w:p>
          <w:p w14:paraId="7B2C9BEB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 xml:space="preserve">- </w:t>
            </w:r>
            <w:r>
              <w:rPr>
                <w:spacing w:val="-8"/>
                <w:sz w:val="26"/>
                <w:szCs w:val="26"/>
              </w:rPr>
              <w:t>Giải thích được quy trình thiết kế kĩ thuật</w:t>
            </w:r>
          </w:p>
          <w:p w14:paraId="45FD6B06">
            <w:pPr>
              <w:spacing w:after="0" w:line="240" w:lineRule="auto"/>
              <w:jc w:val="both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5F22077E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9943A8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4843FF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</w:p>
        </w:tc>
      </w:tr>
      <w:tr w14:paraId="48D4C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32" w:type="dxa"/>
            <w:vMerge w:val="continue"/>
            <w:vAlign w:val="center"/>
          </w:tcPr>
          <w:p w14:paraId="6883D6DF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 w:val="continue"/>
            <w:vAlign w:val="center"/>
          </w:tcPr>
          <w:p w14:paraId="41D0D1ED">
            <w:pPr>
              <w:spacing w:line="280" w:lineRule="exact"/>
              <w:rPr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5EE38C55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Các yếu tố ảnh hưởng trong quá trình thiết kế kĩ thuật</w:t>
            </w:r>
          </w:p>
        </w:tc>
        <w:tc>
          <w:tcPr>
            <w:tcW w:w="6816" w:type="dxa"/>
          </w:tcPr>
          <w:p w14:paraId="448F5B1B">
            <w:pPr>
              <w:spacing w:after="0" w:line="240" w:lineRule="auto"/>
              <w:jc w:val="both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Vận dụng:</w:t>
            </w:r>
          </w:p>
          <w:p w14:paraId="27C7DF4E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 xml:space="preserve">- </w:t>
            </w:r>
            <w:r>
              <w:rPr>
                <w:spacing w:val="-8"/>
                <w:sz w:val="26"/>
                <w:szCs w:val="26"/>
              </w:rPr>
              <w:t>Phân tích được các yếu tố ảnh hưởng trong quá trình thiết kế. Tìm được một số ví dụ minh họa.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A19065E">
            <w:pPr>
              <w:spacing w:after="0" w:line="240" w:lineRule="auto"/>
              <w:contextualSpacing/>
              <w:jc w:val="center"/>
              <w:rPr>
                <w:rFonts w:hint="default"/>
                <w:sz w:val="26"/>
                <w:szCs w:val="26"/>
                <w:lang w:val="en-US"/>
              </w:rPr>
            </w:pPr>
            <w:r>
              <w:rPr>
                <w:rFonts w:hint="default"/>
                <w:sz w:val="26"/>
                <w:szCs w:val="26"/>
                <w:lang w:val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77D4F9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EA5B71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</w:p>
        </w:tc>
      </w:tr>
      <w:tr w14:paraId="3F251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32" w:type="dxa"/>
            <w:vMerge w:val="continue"/>
            <w:vAlign w:val="center"/>
          </w:tcPr>
          <w:p w14:paraId="2DFCC393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  <w:vMerge w:val="continue"/>
            <w:vAlign w:val="center"/>
          </w:tcPr>
          <w:p w14:paraId="1158971A">
            <w:pPr>
              <w:spacing w:line="280" w:lineRule="exact"/>
              <w:rPr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72F356E">
            <w:pPr>
              <w:spacing w:line="280" w:lineRule="exac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Một số nghề nghiệp liên quan đến thiết kế</w:t>
            </w:r>
          </w:p>
        </w:tc>
        <w:tc>
          <w:tcPr>
            <w:tcW w:w="6816" w:type="dxa"/>
          </w:tcPr>
          <w:p w14:paraId="0A045FB0">
            <w:pPr>
              <w:spacing w:after="0" w:line="240" w:lineRule="auto"/>
              <w:jc w:val="both"/>
              <w:rPr>
                <w:b/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Nhận biết:</w:t>
            </w:r>
          </w:p>
          <w:p w14:paraId="7527AADC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 xml:space="preserve">- </w:t>
            </w:r>
            <w:r>
              <w:rPr>
                <w:spacing w:val="-8"/>
                <w:sz w:val="26"/>
                <w:szCs w:val="26"/>
              </w:rPr>
              <w:t>Mô tả được đặc điểm, tính chất của một số nghề nghiệp liên quan đến thiết kế</w:t>
            </w:r>
          </w:p>
          <w:p w14:paraId="610DB32F">
            <w:pPr>
              <w:spacing w:after="0" w:line="240" w:lineRule="auto"/>
              <w:jc w:val="both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- Nhận biết được một số nghề nghiệp thuộc lĩnh vực thiết kế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475BB68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 w:eastAsia="ja-JP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541D0F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 w:eastAsia="ja-JP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2E396B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14:paraId="5AEF0589">
      <w:bookmarkStart w:id="3" w:name="_GoBack"/>
      <w:bookmarkEnd w:id="3"/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09E"/>
    <w:rsid w:val="00095B1D"/>
    <w:rsid w:val="000E573D"/>
    <w:rsid w:val="002A609E"/>
    <w:rsid w:val="00301626"/>
    <w:rsid w:val="00314544"/>
    <w:rsid w:val="004D2DAF"/>
    <w:rsid w:val="004D3C16"/>
    <w:rsid w:val="00717816"/>
    <w:rsid w:val="008204CD"/>
    <w:rsid w:val="0089499F"/>
    <w:rsid w:val="008D7E06"/>
    <w:rsid w:val="00A362FB"/>
    <w:rsid w:val="00A550D1"/>
    <w:rsid w:val="00C70CA0"/>
    <w:rsid w:val="00CC5842"/>
    <w:rsid w:val="00EE619D"/>
    <w:rsid w:val="00FB0BB9"/>
    <w:rsid w:val="3A957966"/>
    <w:rsid w:val="48C83F5A"/>
    <w:rsid w:val="51F454E9"/>
    <w:rsid w:val="5FAD4B4C"/>
    <w:rsid w:val="64454C77"/>
    <w:rsid w:val="7572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390</Words>
  <Characters>2228</Characters>
  <Lines>18</Lines>
  <Paragraphs>5</Paragraphs>
  <TotalTime>13</TotalTime>
  <ScaleCrop>false</ScaleCrop>
  <LinksUpToDate>false</LinksUpToDate>
  <CharactersWithSpaces>2613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2025-02-14T02:48:00Z</dcterms:created>
  <dc:creator>ACER</dc:creator>
  <cp:lastModifiedBy>HỒNG LAN ĐINH THỊ</cp:lastModifiedBy>
  <dcterms:modified xsi:type="dcterms:W3CDTF">2025-03-03T07:30:40Z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1B85A1587ADC4472919ED1F8F961F467_12</vt:lpwstr>
  </property>
</Properties>
</file>